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7D407B11" w:rsidR="00D3224B" w:rsidRPr="00CF6948" w:rsidRDefault="006071D5" w:rsidP="00CF6948">
      <w:pPr>
        <w:pStyle w:val="Heading1"/>
      </w:pPr>
      <w:r w:rsidRPr="00CF6948">
        <w:t xml:space="preserve">3. </w:t>
      </w:r>
      <w:hyperlink r:id="rId7" w:history="1">
        <w:r w:rsidRPr="00CF6948">
          <w:rPr>
            <w:rStyle w:val="Hyperlink"/>
            <w:color w:val="auto"/>
            <w:u w:val="none"/>
          </w:rPr>
          <w:t>EFFECTIVE PROJECT ALIGNMENT FOR CONSTRUCTION SUCCESS (R</w:t>
        </w:r>
        <w:r w:rsidR="00345BD3" w:rsidRPr="00CF6948">
          <w:rPr>
            <w:rStyle w:val="Hyperlink"/>
            <w:color w:val="auto"/>
            <w:u w:val="none"/>
          </w:rPr>
          <w:t>S</w:t>
        </w:r>
        <w:r w:rsidRPr="00CF6948">
          <w:rPr>
            <w:rStyle w:val="Hyperlink"/>
            <w:color w:val="auto"/>
            <w:u w:val="none"/>
          </w:rPr>
          <w:t>310</w:t>
        </w:r>
        <w:r w:rsidR="00345BD3" w:rsidRPr="00CF6948">
          <w:rPr>
            <w:rStyle w:val="Hyperlink"/>
            <w:color w:val="auto"/>
            <w:u w:val="none"/>
          </w:rPr>
          <w:t>-1</w:t>
        </w:r>
        <w:r w:rsidRPr="00CF6948">
          <w:rPr>
            <w:rStyle w:val="Hyperlink"/>
            <w:color w:val="auto"/>
            <w:u w:val="none"/>
          </w:rPr>
          <w:t>)</w:t>
        </w:r>
      </w:hyperlink>
    </w:p>
    <w:p w14:paraId="63835F88" w14:textId="77777777" w:rsidR="0094505C" w:rsidRDefault="0094505C" w:rsidP="0030335D">
      <w:pPr>
        <w:spacing w:after="0" w:line="240" w:lineRule="auto"/>
        <w:rPr>
          <w:b/>
          <w:bCs/>
          <w:sz w:val="24"/>
          <w:szCs w:val="24"/>
        </w:rPr>
      </w:pPr>
    </w:p>
    <w:p w14:paraId="7CF087FC" w14:textId="77777777" w:rsidR="00675C34" w:rsidRDefault="00675C34" w:rsidP="0030335D">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675C34">
        <w:rPr>
          <w:sz w:val="24"/>
          <w:szCs w:val="24"/>
          <w:lang w:eastAsia="zh-CN"/>
        </w:rPr>
        <w:t xml:space="preserve">This study investigated alignment for construction success and identified three areas for improvement: (1) project execution planning (as a basis for alignment in the field), (2) project procedures (to ensure effective execution), and (3) supplier engagement (to increase the likelihood of successful execution). The data collected for each of these three areas served to identify many opportunities for improvement. For example, the project execution planning data indicated broad agreement on which elements should be included in plans to increase the likelihood of successful field execution. The findings also indicated that these elements are not fully included in execution planning documents on a routine basis. Similarly, although companies include aspects of alignment in project procedures, they commonly fail to consider alignment in fundamental areas such as team building, information dissemination, and continuity across phases. </w:t>
      </w:r>
    </w:p>
    <w:p w14:paraId="1B2AF844" w14:textId="77777777" w:rsidR="00675C34" w:rsidRPr="00675C34" w:rsidRDefault="00675C34" w:rsidP="0030335D">
      <w:pPr>
        <w:pStyle w:val="NoSpacing"/>
        <w:jc w:val="both"/>
        <w:rPr>
          <w:sz w:val="24"/>
          <w:szCs w:val="24"/>
          <w:lang w:eastAsia="zh-CN"/>
        </w:rPr>
      </w:pPr>
    </w:p>
    <w:p w14:paraId="2A563C63" w14:textId="6D3FB4D8" w:rsidR="00675C34" w:rsidRDefault="00675C34" w:rsidP="0030335D">
      <w:pPr>
        <w:pStyle w:val="NoSpacing"/>
        <w:jc w:val="both"/>
        <w:rPr>
          <w:sz w:val="24"/>
          <w:szCs w:val="24"/>
          <w:lang w:eastAsia="zh-CN"/>
        </w:rPr>
      </w:pPr>
      <w:r w:rsidRPr="00675C34">
        <w:rPr>
          <w:sz w:val="24"/>
          <w:szCs w:val="24"/>
          <w:lang w:eastAsia="zh-CN"/>
        </w:rPr>
        <w:t xml:space="preserve">The RT-310 study also identified opportunities for increased engagement of suppliers in project planning and shortfalls in common practices (e.g., inadequate scope descriptions and unclear requests for supplier information in Requests for Quotations and Purchase Orders). Overall, the results indicate that the industry has difficulty in accomplishing basic alignment with common practices, from front-end planning through construction. Collectively, the research suggests a need for a ‘back to </w:t>
      </w:r>
      <w:proofErr w:type="gramStart"/>
      <w:r w:rsidRPr="00675C34">
        <w:rPr>
          <w:sz w:val="24"/>
          <w:szCs w:val="24"/>
          <w:lang w:eastAsia="zh-CN"/>
        </w:rPr>
        <w:t>basics’</w:t>
      </w:r>
      <w:proofErr w:type="gramEnd"/>
      <w:r w:rsidRPr="00675C34">
        <w:rPr>
          <w:sz w:val="24"/>
          <w:szCs w:val="24"/>
          <w:lang w:eastAsia="zh-CN"/>
        </w:rPr>
        <w:t xml:space="preserve"> review of provisions for alignment throughout the project life cycle. General recommendations include that organizations should review their internal procedures and consult </w:t>
      </w:r>
      <w:hyperlink r:id="rId8" w:history="1">
        <w:r w:rsidRPr="005573F5">
          <w:rPr>
            <w:rStyle w:val="Hyperlink"/>
            <w:sz w:val="24"/>
            <w:szCs w:val="24"/>
            <w:lang w:eastAsia="zh-CN"/>
          </w:rPr>
          <w:t>Implementation Resource (IR) 310-2</w:t>
        </w:r>
      </w:hyperlink>
      <w:r w:rsidRPr="00675C34">
        <w:rPr>
          <w:sz w:val="24"/>
          <w:szCs w:val="24"/>
          <w:lang w:eastAsia="zh-CN"/>
        </w:rPr>
        <w:t>, Effective Project Alignment for Construction Success. In short, RT-310 concludes that ‘alignment doesn’t just happen’ and recommends that, for construction success, the industry should revisit and reinvest in its provisions for alignment.</w:t>
      </w:r>
    </w:p>
    <w:p w14:paraId="49576912" w14:textId="77777777" w:rsidR="00675C34" w:rsidRDefault="00675C34" w:rsidP="0030335D">
      <w:pPr>
        <w:pStyle w:val="NoSpacing"/>
        <w:jc w:val="both"/>
        <w:rPr>
          <w:sz w:val="24"/>
          <w:szCs w:val="24"/>
          <w:lang w:eastAsia="zh-CN"/>
        </w:rPr>
      </w:pPr>
    </w:p>
    <w:p w14:paraId="3966BFD7" w14:textId="77777777" w:rsidR="00675C34" w:rsidRDefault="00675C34" w:rsidP="0030335D">
      <w:pPr>
        <w:pStyle w:val="NoSpacing"/>
        <w:jc w:val="both"/>
        <w:rPr>
          <w:rFonts w:cs="Times New Roman"/>
          <w:b/>
          <w:bCs/>
          <w:sz w:val="28"/>
          <w:szCs w:val="28"/>
          <w:u w:val="single"/>
          <w:lang w:eastAsia="zh-CN"/>
        </w:rPr>
      </w:pPr>
      <w:r>
        <w:rPr>
          <w:b/>
          <w:bCs/>
          <w:sz w:val="24"/>
          <w:szCs w:val="24"/>
          <w:u w:val="single"/>
          <w:lang w:eastAsia="zh-CN"/>
        </w:rPr>
        <w:t>Key Takeaways:</w:t>
      </w:r>
    </w:p>
    <w:p w14:paraId="477A706D" w14:textId="77777777" w:rsidR="006071D5" w:rsidRPr="006071D5" w:rsidRDefault="006071D5" w:rsidP="0030335D">
      <w:pPr>
        <w:pStyle w:val="Heading2"/>
        <w:spacing w:before="0" w:after="0" w:line="240" w:lineRule="auto"/>
        <w:rPr>
          <w:color w:val="auto"/>
        </w:rPr>
      </w:pPr>
      <w:r w:rsidRPr="006071D5">
        <w:rPr>
          <w:color w:val="auto"/>
        </w:rPr>
        <w:t>(1) A</w:t>
      </w:r>
      <w:r w:rsidR="00366EE7" w:rsidRPr="006071D5">
        <w:rPr>
          <w:color w:val="auto"/>
        </w:rPr>
        <w:t xml:space="preserve">dvance project execution plans (PEPs). </w:t>
      </w:r>
    </w:p>
    <w:p w14:paraId="0D94ACD9" w14:textId="4320416B" w:rsidR="00830C78" w:rsidRPr="006071D5" w:rsidRDefault="00CD6E1D" w:rsidP="0030335D">
      <w:pPr>
        <w:pStyle w:val="Heading2"/>
        <w:spacing w:before="0" w:after="0" w:line="240" w:lineRule="auto"/>
        <w:ind w:firstLine="360"/>
        <w:rPr>
          <w:color w:val="auto"/>
        </w:rPr>
      </w:pPr>
      <w:r w:rsidRPr="006071D5">
        <w:rPr>
          <w:color w:val="auto"/>
        </w:rPr>
        <w:t>(</w:t>
      </w:r>
      <w:r w:rsidR="001F6ECD" w:rsidRPr="006071D5">
        <w:rPr>
          <w:color w:val="auto"/>
        </w:rPr>
        <w:t xml:space="preserve">Project Phase: </w:t>
      </w:r>
      <w:r w:rsidR="00FB5806" w:rsidRPr="006071D5">
        <w:rPr>
          <w:color w:val="auto"/>
        </w:rPr>
        <w:t xml:space="preserve">Feasibility </w:t>
      </w:r>
      <w:r w:rsidR="00DA085F" w:rsidRPr="006071D5">
        <w:rPr>
          <w:color w:val="auto"/>
        </w:rPr>
        <w:t>through</w:t>
      </w:r>
      <w:r w:rsidRPr="006071D5">
        <w:rPr>
          <w:color w:val="auto"/>
        </w:rPr>
        <w:t xml:space="preserve"> Operate Facility</w:t>
      </w:r>
      <w:r w:rsidR="001F6ECD" w:rsidRPr="006071D5">
        <w:rPr>
          <w:color w:val="auto"/>
        </w:rPr>
        <w:t>)</w:t>
      </w:r>
    </w:p>
    <w:p w14:paraId="49B3A385" w14:textId="697945B6" w:rsidR="0076505D" w:rsidRPr="006071D5" w:rsidRDefault="0076505D" w:rsidP="0030335D">
      <w:pPr>
        <w:pStyle w:val="ListParagraph"/>
        <w:numPr>
          <w:ilvl w:val="0"/>
          <w:numId w:val="24"/>
        </w:numPr>
        <w:spacing w:after="0" w:line="240" w:lineRule="auto"/>
        <w:rPr>
          <w:rFonts w:cs="Times New Roman"/>
          <w:sz w:val="24"/>
          <w:szCs w:val="24"/>
        </w:rPr>
      </w:pPr>
      <w:r w:rsidRPr="006071D5">
        <w:rPr>
          <w:rFonts w:cs="Times New Roman"/>
          <w:sz w:val="24"/>
          <w:szCs w:val="24"/>
        </w:rPr>
        <w:t>Ensure provisions for elements such as scope definition and interface management</w:t>
      </w:r>
      <w:r w:rsidR="006071D5">
        <w:rPr>
          <w:rFonts w:cs="Times New Roman"/>
          <w:sz w:val="24"/>
          <w:szCs w:val="24"/>
        </w:rPr>
        <w:t>.</w:t>
      </w:r>
      <w:r w:rsidRPr="006071D5">
        <w:rPr>
          <w:rFonts w:cs="Times New Roman"/>
          <w:sz w:val="24"/>
          <w:szCs w:val="24"/>
        </w:rPr>
        <w:tab/>
      </w:r>
    </w:p>
    <w:p w14:paraId="0B94FEA2" w14:textId="44F94576" w:rsidR="0076505D" w:rsidRPr="006071D5" w:rsidRDefault="0076505D" w:rsidP="0030335D">
      <w:pPr>
        <w:pStyle w:val="ListParagraph"/>
        <w:numPr>
          <w:ilvl w:val="0"/>
          <w:numId w:val="24"/>
        </w:numPr>
        <w:spacing w:after="0" w:line="240" w:lineRule="auto"/>
        <w:rPr>
          <w:rFonts w:cs="Times New Roman"/>
          <w:sz w:val="24"/>
          <w:szCs w:val="24"/>
        </w:rPr>
      </w:pPr>
      <w:proofErr w:type="gramStart"/>
      <w:r w:rsidRPr="006071D5">
        <w:rPr>
          <w:rFonts w:cs="Times New Roman"/>
          <w:sz w:val="24"/>
          <w:szCs w:val="24"/>
        </w:rPr>
        <w:t>Extend</w:t>
      </w:r>
      <w:proofErr w:type="gramEnd"/>
      <w:r w:rsidRPr="006071D5">
        <w:rPr>
          <w:rFonts w:cs="Times New Roman"/>
          <w:sz w:val="24"/>
          <w:szCs w:val="24"/>
        </w:rPr>
        <w:t xml:space="preserve"> provisions for leading execution strategies such as </w:t>
      </w:r>
      <w:r w:rsidR="006071D5" w:rsidRPr="006071D5">
        <w:rPr>
          <w:rFonts w:cs="Times New Roman"/>
          <w:sz w:val="24"/>
          <w:szCs w:val="24"/>
        </w:rPr>
        <w:t xml:space="preserve">advanced work packaging </w:t>
      </w:r>
      <w:r w:rsidRPr="006071D5">
        <w:rPr>
          <w:rFonts w:cs="Times New Roman"/>
          <w:sz w:val="24"/>
          <w:szCs w:val="24"/>
        </w:rPr>
        <w:t>and modularization.</w:t>
      </w:r>
    </w:p>
    <w:p w14:paraId="6DF9541B" w14:textId="0DC3DDFB" w:rsidR="0076505D" w:rsidRPr="006071D5" w:rsidRDefault="0076505D" w:rsidP="0030335D">
      <w:pPr>
        <w:pStyle w:val="ListParagraph"/>
        <w:numPr>
          <w:ilvl w:val="0"/>
          <w:numId w:val="24"/>
        </w:numPr>
        <w:spacing w:after="0" w:line="240" w:lineRule="auto"/>
        <w:rPr>
          <w:rFonts w:cs="Times New Roman"/>
          <w:sz w:val="24"/>
          <w:szCs w:val="24"/>
        </w:rPr>
      </w:pPr>
      <w:r w:rsidRPr="006071D5">
        <w:rPr>
          <w:rFonts w:cs="Times New Roman"/>
          <w:sz w:val="24"/>
          <w:szCs w:val="24"/>
        </w:rPr>
        <w:t xml:space="preserve">Dedicate resources for </w:t>
      </w:r>
      <w:r w:rsidR="006071D5">
        <w:rPr>
          <w:rFonts w:cs="Times New Roman"/>
          <w:sz w:val="24"/>
          <w:szCs w:val="24"/>
        </w:rPr>
        <w:t xml:space="preserve">the </w:t>
      </w:r>
      <w:r w:rsidRPr="006071D5">
        <w:rPr>
          <w:rFonts w:cs="Times New Roman"/>
          <w:sz w:val="24"/>
          <w:szCs w:val="24"/>
        </w:rPr>
        <w:t>competent creation of the PEP</w:t>
      </w:r>
      <w:r w:rsidR="006071D5">
        <w:rPr>
          <w:rFonts w:cs="Times New Roman"/>
          <w:sz w:val="24"/>
          <w:szCs w:val="24"/>
        </w:rPr>
        <w:t>, as a</w:t>
      </w:r>
      <w:r w:rsidRPr="006071D5">
        <w:rPr>
          <w:rFonts w:cs="Times New Roman"/>
          <w:sz w:val="24"/>
          <w:szCs w:val="24"/>
        </w:rPr>
        <w:t xml:space="preserve"> PEP</w:t>
      </w:r>
      <w:r w:rsidR="006071D5">
        <w:rPr>
          <w:rFonts w:cs="Times New Roman"/>
          <w:sz w:val="24"/>
          <w:szCs w:val="24"/>
        </w:rPr>
        <w:t xml:space="preserve"> is a</w:t>
      </w:r>
      <w:r w:rsidRPr="006071D5">
        <w:rPr>
          <w:rFonts w:cs="Times New Roman"/>
          <w:sz w:val="24"/>
          <w:szCs w:val="24"/>
        </w:rPr>
        <w:t xml:space="preserve"> </w:t>
      </w:r>
      <w:r w:rsidR="006071D5">
        <w:rPr>
          <w:rFonts w:cs="Times New Roman"/>
          <w:sz w:val="24"/>
          <w:szCs w:val="24"/>
        </w:rPr>
        <w:t>front-end planning</w:t>
      </w:r>
      <w:r w:rsidRPr="006071D5">
        <w:rPr>
          <w:rFonts w:cs="Times New Roman"/>
          <w:sz w:val="24"/>
          <w:szCs w:val="24"/>
        </w:rPr>
        <w:t xml:space="preserve"> deliverable</w:t>
      </w:r>
      <w:r w:rsidR="006071D5">
        <w:rPr>
          <w:rFonts w:cs="Times New Roman"/>
          <w:sz w:val="24"/>
          <w:szCs w:val="24"/>
        </w:rPr>
        <w:t>.</w:t>
      </w:r>
    </w:p>
    <w:p w14:paraId="111C860C" w14:textId="79F73D7E" w:rsidR="0076505D" w:rsidRPr="006071D5" w:rsidRDefault="0076505D" w:rsidP="0030335D">
      <w:pPr>
        <w:pStyle w:val="ListParagraph"/>
        <w:numPr>
          <w:ilvl w:val="0"/>
          <w:numId w:val="24"/>
        </w:numPr>
        <w:spacing w:after="0" w:line="240" w:lineRule="auto"/>
        <w:rPr>
          <w:rFonts w:cs="Times New Roman"/>
          <w:sz w:val="24"/>
          <w:szCs w:val="24"/>
        </w:rPr>
      </w:pPr>
      <w:r w:rsidRPr="006071D5">
        <w:rPr>
          <w:rFonts w:cs="Times New Roman"/>
          <w:sz w:val="24"/>
          <w:szCs w:val="24"/>
        </w:rPr>
        <w:t>Ensure handover of the PEP to subsequent phases.</w:t>
      </w:r>
      <w:r w:rsidRPr="006071D5">
        <w:rPr>
          <w:rFonts w:cs="Times New Roman"/>
          <w:sz w:val="24"/>
          <w:szCs w:val="24"/>
        </w:rPr>
        <w:tab/>
      </w:r>
    </w:p>
    <w:p w14:paraId="7A122294" w14:textId="62DF90EB" w:rsidR="0076505D" w:rsidRDefault="0076505D" w:rsidP="0030335D">
      <w:pPr>
        <w:pStyle w:val="ListParagraph"/>
        <w:numPr>
          <w:ilvl w:val="0"/>
          <w:numId w:val="24"/>
        </w:numPr>
        <w:spacing w:after="0" w:line="240" w:lineRule="auto"/>
        <w:rPr>
          <w:rFonts w:cs="Times New Roman"/>
          <w:sz w:val="24"/>
          <w:szCs w:val="24"/>
        </w:rPr>
      </w:pPr>
      <w:r w:rsidRPr="006071D5">
        <w:rPr>
          <w:rFonts w:cs="Times New Roman"/>
          <w:sz w:val="24"/>
          <w:szCs w:val="24"/>
        </w:rPr>
        <w:t xml:space="preserve">Make </w:t>
      </w:r>
      <w:r w:rsidR="006071D5">
        <w:rPr>
          <w:rFonts w:cs="Times New Roman"/>
          <w:sz w:val="24"/>
          <w:szCs w:val="24"/>
        </w:rPr>
        <w:t xml:space="preserve">the </w:t>
      </w:r>
      <w:r w:rsidRPr="006071D5">
        <w:rPr>
          <w:rFonts w:cs="Times New Roman"/>
          <w:sz w:val="24"/>
          <w:szCs w:val="24"/>
        </w:rPr>
        <w:t xml:space="preserve">PEP </w:t>
      </w:r>
      <w:r w:rsidR="006071D5">
        <w:rPr>
          <w:rFonts w:cs="Times New Roman"/>
          <w:sz w:val="24"/>
          <w:szCs w:val="24"/>
        </w:rPr>
        <w:t>serve as</w:t>
      </w:r>
      <w:r w:rsidRPr="006071D5">
        <w:rPr>
          <w:rFonts w:cs="Times New Roman"/>
          <w:sz w:val="24"/>
          <w:szCs w:val="24"/>
        </w:rPr>
        <w:t xml:space="preserve"> a living document.</w:t>
      </w:r>
    </w:p>
    <w:p w14:paraId="3CD22753" w14:textId="77777777" w:rsidR="006071D5" w:rsidRPr="006071D5" w:rsidRDefault="006071D5" w:rsidP="0030335D">
      <w:pPr>
        <w:pStyle w:val="ListParagraph"/>
        <w:spacing w:after="0" w:line="240" w:lineRule="auto"/>
        <w:rPr>
          <w:rFonts w:cs="Times New Roman"/>
          <w:sz w:val="24"/>
          <w:szCs w:val="24"/>
        </w:rPr>
      </w:pPr>
    </w:p>
    <w:p w14:paraId="4F24783D" w14:textId="3857031F" w:rsidR="006071D5" w:rsidRPr="006071D5" w:rsidRDefault="006071D5" w:rsidP="0030335D">
      <w:pPr>
        <w:pStyle w:val="Heading2"/>
        <w:spacing w:before="0" w:after="0" w:line="240" w:lineRule="auto"/>
        <w:rPr>
          <w:color w:val="auto"/>
        </w:rPr>
      </w:pPr>
      <w:r w:rsidRPr="006071D5">
        <w:rPr>
          <w:color w:val="auto"/>
        </w:rPr>
        <w:t>(2) E</w:t>
      </w:r>
      <w:r w:rsidR="002A77D1" w:rsidRPr="006071D5">
        <w:rPr>
          <w:color w:val="auto"/>
        </w:rPr>
        <w:t>ngage suppliers earlier and more effectively</w:t>
      </w:r>
      <w:r>
        <w:rPr>
          <w:color w:val="auto"/>
        </w:rPr>
        <w:t xml:space="preserve"> in the project</w:t>
      </w:r>
      <w:r w:rsidR="002A77D1" w:rsidRPr="006071D5">
        <w:rPr>
          <w:color w:val="auto"/>
        </w:rPr>
        <w:t xml:space="preserve">. </w:t>
      </w:r>
    </w:p>
    <w:p w14:paraId="21A6095E" w14:textId="0D534902" w:rsidR="00830C78" w:rsidRPr="006071D5" w:rsidRDefault="00CD6E1D" w:rsidP="0030335D">
      <w:pPr>
        <w:pStyle w:val="Heading2"/>
        <w:spacing w:before="0" w:after="0" w:line="240" w:lineRule="auto"/>
        <w:ind w:firstLine="360"/>
        <w:rPr>
          <w:color w:val="auto"/>
        </w:rPr>
      </w:pPr>
      <w:r w:rsidRPr="006071D5">
        <w:rPr>
          <w:color w:val="auto"/>
        </w:rPr>
        <w:t>(Project Phase: Feasibility through Operate Facility)</w:t>
      </w:r>
    </w:p>
    <w:p w14:paraId="4AB5593C" w14:textId="35FCA08B" w:rsidR="00B55168" w:rsidRPr="006071D5" w:rsidRDefault="00B55168" w:rsidP="0030335D">
      <w:pPr>
        <w:pStyle w:val="ListParagraph"/>
        <w:numPr>
          <w:ilvl w:val="0"/>
          <w:numId w:val="25"/>
        </w:numPr>
        <w:spacing w:after="0" w:line="240" w:lineRule="auto"/>
        <w:rPr>
          <w:rFonts w:cs="Times New Roman"/>
          <w:sz w:val="24"/>
          <w:szCs w:val="24"/>
        </w:rPr>
      </w:pPr>
      <w:r w:rsidRPr="006071D5">
        <w:rPr>
          <w:rFonts w:cs="Times New Roman"/>
          <w:sz w:val="24"/>
          <w:szCs w:val="24"/>
        </w:rPr>
        <w:t>Engage suppliers in the planning activities.</w:t>
      </w:r>
      <w:r w:rsidRPr="006071D5">
        <w:rPr>
          <w:rFonts w:cs="Times New Roman"/>
          <w:sz w:val="24"/>
          <w:szCs w:val="24"/>
        </w:rPr>
        <w:tab/>
      </w:r>
      <w:r w:rsidRPr="006071D5">
        <w:rPr>
          <w:rFonts w:cs="Times New Roman"/>
          <w:sz w:val="24"/>
          <w:szCs w:val="24"/>
        </w:rPr>
        <w:tab/>
      </w:r>
      <w:r w:rsidRPr="006071D5">
        <w:rPr>
          <w:rFonts w:cs="Times New Roman"/>
          <w:sz w:val="24"/>
          <w:szCs w:val="24"/>
        </w:rPr>
        <w:tab/>
      </w:r>
      <w:r w:rsidRPr="006071D5">
        <w:rPr>
          <w:rFonts w:cs="Times New Roman"/>
          <w:sz w:val="24"/>
          <w:szCs w:val="24"/>
        </w:rPr>
        <w:tab/>
      </w:r>
    </w:p>
    <w:p w14:paraId="2A2D26F1" w14:textId="7F8DB55C" w:rsidR="00B55168" w:rsidRPr="006071D5" w:rsidRDefault="00B55168" w:rsidP="0030335D">
      <w:pPr>
        <w:pStyle w:val="ListParagraph"/>
        <w:numPr>
          <w:ilvl w:val="0"/>
          <w:numId w:val="25"/>
        </w:numPr>
        <w:spacing w:after="0" w:line="240" w:lineRule="auto"/>
        <w:rPr>
          <w:rFonts w:cs="Times New Roman"/>
          <w:sz w:val="24"/>
          <w:szCs w:val="24"/>
        </w:rPr>
      </w:pPr>
      <w:r w:rsidRPr="006071D5">
        <w:rPr>
          <w:rFonts w:cs="Times New Roman"/>
          <w:sz w:val="24"/>
          <w:szCs w:val="24"/>
        </w:rPr>
        <w:t xml:space="preserve">Do not assume </w:t>
      </w:r>
      <w:r w:rsidR="006071D5">
        <w:rPr>
          <w:rFonts w:cs="Times New Roman"/>
          <w:sz w:val="24"/>
          <w:szCs w:val="24"/>
        </w:rPr>
        <w:t xml:space="preserve">that the </w:t>
      </w:r>
      <w:r w:rsidRPr="006071D5">
        <w:rPr>
          <w:rFonts w:cs="Times New Roman"/>
          <w:sz w:val="24"/>
          <w:szCs w:val="24"/>
        </w:rPr>
        <w:t>supplier will not participate or will not add value.</w:t>
      </w:r>
      <w:r w:rsidRPr="006071D5">
        <w:rPr>
          <w:rFonts w:cs="Times New Roman"/>
          <w:sz w:val="24"/>
          <w:szCs w:val="24"/>
        </w:rPr>
        <w:tab/>
      </w:r>
      <w:r w:rsidRPr="006071D5">
        <w:rPr>
          <w:rFonts w:cs="Times New Roman"/>
          <w:sz w:val="24"/>
          <w:szCs w:val="24"/>
        </w:rPr>
        <w:tab/>
      </w:r>
      <w:r w:rsidRPr="006071D5">
        <w:rPr>
          <w:rFonts w:cs="Times New Roman"/>
          <w:sz w:val="24"/>
          <w:szCs w:val="24"/>
        </w:rPr>
        <w:tab/>
      </w:r>
    </w:p>
    <w:p w14:paraId="64498D5C" w14:textId="39B48754" w:rsidR="00B55168" w:rsidRDefault="00B55168" w:rsidP="0030335D">
      <w:pPr>
        <w:pStyle w:val="ListParagraph"/>
        <w:numPr>
          <w:ilvl w:val="0"/>
          <w:numId w:val="25"/>
        </w:numPr>
        <w:spacing w:after="0" w:line="240" w:lineRule="auto"/>
        <w:rPr>
          <w:rFonts w:cs="Times New Roman"/>
          <w:sz w:val="24"/>
          <w:szCs w:val="24"/>
        </w:rPr>
      </w:pPr>
      <w:r w:rsidRPr="006071D5">
        <w:rPr>
          <w:rFonts w:cs="Times New Roman"/>
          <w:sz w:val="24"/>
          <w:szCs w:val="24"/>
        </w:rPr>
        <w:t xml:space="preserve">Review </w:t>
      </w:r>
      <w:r w:rsidR="0076611F">
        <w:rPr>
          <w:rFonts w:cs="Times New Roman"/>
          <w:sz w:val="24"/>
          <w:szCs w:val="24"/>
        </w:rPr>
        <w:t xml:space="preserve">requests for proposals, requests for quotes, and purchase orders </w:t>
      </w:r>
      <w:r w:rsidRPr="006071D5">
        <w:rPr>
          <w:rFonts w:cs="Times New Roman"/>
          <w:sz w:val="24"/>
          <w:szCs w:val="24"/>
        </w:rPr>
        <w:t xml:space="preserve">to </w:t>
      </w:r>
      <w:r w:rsidR="0076611F">
        <w:rPr>
          <w:rFonts w:cs="Times New Roman"/>
          <w:sz w:val="24"/>
          <w:szCs w:val="24"/>
        </w:rPr>
        <w:t xml:space="preserve">ensure </w:t>
      </w:r>
      <w:r w:rsidRPr="006071D5">
        <w:rPr>
          <w:rFonts w:cs="Times New Roman"/>
          <w:sz w:val="24"/>
          <w:szCs w:val="24"/>
        </w:rPr>
        <w:t>clear definition</w:t>
      </w:r>
      <w:r w:rsidR="0076611F">
        <w:rPr>
          <w:rFonts w:cs="Times New Roman"/>
          <w:sz w:val="24"/>
          <w:szCs w:val="24"/>
        </w:rPr>
        <w:t>s</w:t>
      </w:r>
      <w:r w:rsidRPr="006071D5">
        <w:rPr>
          <w:rFonts w:cs="Times New Roman"/>
          <w:sz w:val="24"/>
          <w:szCs w:val="24"/>
        </w:rPr>
        <w:t xml:space="preserve"> of scope, data needs, and data delivery dates.</w:t>
      </w:r>
    </w:p>
    <w:p w14:paraId="08E2A96D" w14:textId="77777777" w:rsidR="0076611F" w:rsidRPr="006071D5" w:rsidRDefault="0076611F" w:rsidP="0030335D">
      <w:pPr>
        <w:pStyle w:val="ListParagraph"/>
        <w:spacing w:after="0" w:line="240" w:lineRule="auto"/>
        <w:rPr>
          <w:rFonts w:cs="Times New Roman"/>
          <w:sz w:val="24"/>
          <w:szCs w:val="24"/>
        </w:rPr>
      </w:pPr>
    </w:p>
    <w:p w14:paraId="1B48EE97" w14:textId="77777777" w:rsidR="0076611F" w:rsidRPr="0076611F" w:rsidRDefault="0076611F" w:rsidP="0030335D">
      <w:pPr>
        <w:pStyle w:val="Heading2"/>
        <w:spacing w:before="0" w:after="0" w:line="240" w:lineRule="auto"/>
        <w:rPr>
          <w:color w:val="auto"/>
        </w:rPr>
      </w:pPr>
      <w:r w:rsidRPr="0076611F">
        <w:rPr>
          <w:color w:val="auto"/>
        </w:rPr>
        <w:t>(3) I</w:t>
      </w:r>
      <w:r w:rsidR="00AB2E9C" w:rsidRPr="0076611F">
        <w:rPr>
          <w:color w:val="auto"/>
        </w:rPr>
        <w:t>mprove alignment procedures; ensure consistent execution.</w:t>
      </w:r>
      <w:r w:rsidR="002B3DC2" w:rsidRPr="0076611F">
        <w:rPr>
          <w:color w:val="auto"/>
        </w:rPr>
        <w:t xml:space="preserve"> </w:t>
      </w:r>
    </w:p>
    <w:p w14:paraId="7DB34570" w14:textId="65F8F7D7" w:rsidR="00D805A5" w:rsidRPr="0076611F" w:rsidRDefault="009017F6" w:rsidP="0030335D">
      <w:pPr>
        <w:pStyle w:val="Heading2"/>
        <w:spacing w:before="0" w:after="0" w:line="240" w:lineRule="auto"/>
        <w:ind w:firstLine="360"/>
        <w:rPr>
          <w:color w:val="auto"/>
        </w:rPr>
      </w:pPr>
      <w:r w:rsidRPr="0076611F">
        <w:rPr>
          <w:color w:val="auto"/>
        </w:rPr>
        <w:t>(Project Phase: Feasibility through Operate Facility</w:t>
      </w:r>
      <w:r w:rsidR="00DA085F" w:rsidRPr="0076611F">
        <w:rPr>
          <w:color w:val="auto"/>
        </w:rPr>
        <w:t>)</w:t>
      </w:r>
    </w:p>
    <w:p w14:paraId="127651D3" w14:textId="54A4E316" w:rsidR="00FB66AC" w:rsidRPr="006071D5" w:rsidRDefault="0076611F" w:rsidP="0030335D">
      <w:pPr>
        <w:pStyle w:val="ListParagraph"/>
        <w:numPr>
          <w:ilvl w:val="0"/>
          <w:numId w:val="26"/>
        </w:numPr>
        <w:spacing w:after="0" w:line="240" w:lineRule="auto"/>
        <w:rPr>
          <w:rFonts w:cs="Times New Roman"/>
          <w:sz w:val="24"/>
          <w:szCs w:val="24"/>
        </w:rPr>
      </w:pPr>
      <w:r>
        <w:rPr>
          <w:rFonts w:cs="Times New Roman"/>
          <w:sz w:val="24"/>
          <w:szCs w:val="24"/>
        </w:rPr>
        <w:t>Ensure</w:t>
      </w:r>
      <w:r w:rsidR="00FB66AC" w:rsidRPr="006071D5">
        <w:rPr>
          <w:rFonts w:cs="Times New Roman"/>
          <w:sz w:val="24"/>
          <w:szCs w:val="24"/>
        </w:rPr>
        <w:t xml:space="preserve"> inclusion and consistency of procedures for alignment, team building, on-boarding, and continuity of the team.</w:t>
      </w:r>
      <w:r w:rsidR="00FB66AC" w:rsidRPr="006071D5">
        <w:rPr>
          <w:rFonts w:cs="Times New Roman"/>
          <w:sz w:val="24"/>
          <w:szCs w:val="24"/>
        </w:rPr>
        <w:tab/>
      </w:r>
      <w:r w:rsidR="00FB66AC" w:rsidRPr="006071D5">
        <w:rPr>
          <w:rFonts w:cs="Times New Roman"/>
          <w:sz w:val="24"/>
          <w:szCs w:val="24"/>
        </w:rPr>
        <w:tab/>
      </w:r>
      <w:r w:rsidR="00FB66AC" w:rsidRPr="006071D5">
        <w:rPr>
          <w:rFonts w:cs="Times New Roman"/>
          <w:sz w:val="24"/>
          <w:szCs w:val="24"/>
        </w:rPr>
        <w:tab/>
      </w:r>
    </w:p>
    <w:p w14:paraId="602DCFE9" w14:textId="322BD341" w:rsidR="00FB66AC" w:rsidRPr="006071D5" w:rsidRDefault="00FB66AC" w:rsidP="0030335D">
      <w:pPr>
        <w:pStyle w:val="ListParagraph"/>
        <w:numPr>
          <w:ilvl w:val="0"/>
          <w:numId w:val="26"/>
        </w:numPr>
        <w:spacing w:after="0" w:line="240" w:lineRule="auto"/>
        <w:rPr>
          <w:rFonts w:cs="Times New Roman"/>
          <w:sz w:val="24"/>
          <w:szCs w:val="24"/>
        </w:rPr>
      </w:pPr>
      <w:r w:rsidRPr="006071D5">
        <w:rPr>
          <w:rFonts w:cs="Times New Roman"/>
          <w:sz w:val="24"/>
          <w:szCs w:val="24"/>
        </w:rPr>
        <w:lastRenderedPageBreak/>
        <w:t xml:space="preserve">Ensure </w:t>
      </w:r>
      <w:r w:rsidR="0076611F">
        <w:rPr>
          <w:rFonts w:cs="Times New Roman"/>
          <w:sz w:val="24"/>
          <w:szCs w:val="24"/>
        </w:rPr>
        <w:t xml:space="preserve">that </w:t>
      </w:r>
      <w:r w:rsidRPr="006071D5">
        <w:rPr>
          <w:rFonts w:cs="Times New Roman"/>
          <w:sz w:val="24"/>
          <w:szCs w:val="24"/>
        </w:rPr>
        <w:t>procedures are not lacking in one or more areas across all project phases.</w:t>
      </w:r>
      <w:r w:rsidRPr="006071D5">
        <w:rPr>
          <w:rFonts w:cs="Times New Roman"/>
          <w:sz w:val="24"/>
          <w:szCs w:val="24"/>
        </w:rPr>
        <w:tab/>
      </w:r>
    </w:p>
    <w:p w14:paraId="588E09B1" w14:textId="5252E484" w:rsidR="00FB66AC" w:rsidRPr="006071D5" w:rsidRDefault="00FB66AC" w:rsidP="0030335D">
      <w:pPr>
        <w:pStyle w:val="ListParagraph"/>
        <w:numPr>
          <w:ilvl w:val="0"/>
          <w:numId w:val="26"/>
        </w:numPr>
        <w:spacing w:after="0" w:line="240" w:lineRule="auto"/>
        <w:rPr>
          <w:rFonts w:cs="Times New Roman"/>
          <w:sz w:val="24"/>
          <w:szCs w:val="24"/>
        </w:rPr>
      </w:pPr>
      <w:r w:rsidRPr="006071D5">
        <w:rPr>
          <w:rFonts w:cs="Times New Roman"/>
          <w:sz w:val="24"/>
          <w:szCs w:val="24"/>
        </w:rPr>
        <w:t>Incorporate procedures that involve all appropriate stakeholders in the development and sign-off of key project deliverables and tasks.</w:t>
      </w:r>
    </w:p>
    <w:p w14:paraId="63BF26A7" w14:textId="78965EFD" w:rsidR="00FB66AC" w:rsidRDefault="0076611F" w:rsidP="0030335D">
      <w:pPr>
        <w:pStyle w:val="ListParagraph"/>
        <w:numPr>
          <w:ilvl w:val="0"/>
          <w:numId w:val="26"/>
        </w:numPr>
        <w:spacing w:after="0" w:line="240" w:lineRule="auto"/>
        <w:rPr>
          <w:rFonts w:cs="Times New Roman"/>
          <w:sz w:val="24"/>
          <w:szCs w:val="24"/>
        </w:rPr>
      </w:pPr>
      <w:r>
        <w:rPr>
          <w:rFonts w:cs="Times New Roman"/>
          <w:sz w:val="24"/>
          <w:szCs w:val="24"/>
        </w:rPr>
        <w:t>Ensure</w:t>
      </w:r>
      <w:r w:rsidR="00FB66AC" w:rsidRPr="006071D5">
        <w:rPr>
          <w:rFonts w:cs="Times New Roman"/>
          <w:sz w:val="24"/>
          <w:szCs w:val="24"/>
        </w:rPr>
        <w:t xml:space="preserve"> effective transitions between </w:t>
      </w:r>
      <w:r w:rsidR="00081145">
        <w:rPr>
          <w:rFonts w:cs="Times New Roman"/>
          <w:sz w:val="24"/>
          <w:szCs w:val="24"/>
        </w:rPr>
        <w:t xml:space="preserve">project </w:t>
      </w:r>
      <w:r w:rsidR="00FB66AC" w:rsidRPr="006071D5">
        <w:rPr>
          <w:rFonts w:cs="Times New Roman"/>
          <w:sz w:val="24"/>
          <w:szCs w:val="24"/>
        </w:rPr>
        <w:t>phases.</w:t>
      </w:r>
    </w:p>
    <w:p w14:paraId="70A016FE" w14:textId="00A38015" w:rsidR="0076611F" w:rsidRPr="006071D5" w:rsidRDefault="0076611F" w:rsidP="0030335D">
      <w:pPr>
        <w:pStyle w:val="ListParagraph"/>
        <w:spacing w:after="0" w:line="240" w:lineRule="auto"/>
        <w:rPr>
          <w:rFonts w:cs="Times New Roman"/>
          <w:sz w:val="24"/>
          <w:szCs w:val="24"/>
        </w:rPr>
      </w:pPr>
    </w:p>
    <w:p w14:paraId="5FDF88A8" w14:textId="70A2B3E6" w:rsidR="0076611F" w:rsidRPr="005573F5" w:rsidRDefault="005573F5" w:rsidP="0030335D">
      <w:pPr>
        <w:pStyle w:val="Heading2"/>
        <w:spacing w:before="0" w:after="0" w:line="240" w:lineRule="auto"/>
        <w:rPr>
          <w:rStyle w:val="Hyperlink"/>
        </w:rPr>
      </w:pPr>
      <w:r>
        <w:fldChar w:fldCharType="begin"/>
      </w:r>
      <w:r>
        <w:instrText>HYPERLINK "https://www.construction-institute.org/effective-project-alignment-for-construction-success-fec824e2b49eb0f6b165ca7cecb4a8cb"</w:instrText>
      </w:r>
      <w:r>
        <w:fldChar w:fldCharType="separate"/>
      </w:r>
      <w:r w:rsidR="00232AD5">
        <w:rPr>
          <w:rStyle w:val="Hyperlink"/>
        </w:rPr>
        <w:t>(4) T</w:t>
      </w:r>
      <w:r w:rsidR="00C27843" w:rsidRPr="005573F5">
        <w:rPr>
          <w:rStyle w:val="Hyperlink"/>
        </w:rPr>
        <w:t xml:space="preserve">ool: Effective Project Alignment for Construction Success (IR310-2) </w:t>
      </w:r>
    </w:p>
    <w:p w14:paraId="12B5FEC9" w14:textId="076A3779" w:rsidR="002147F6" w:rsidRDefault="005573F5" w:rsidP="0030335D">
      <w:pPr>
        <w:pStyle w:val="Heading2"/>
        <w:spacing w:before="0" w:after="0" w:line="240" w:lineRule="auto"/>
        <w:ind w:firstLine="360"/>
        <w:rPr>
          <w:color w:val="auto"/>
        </w:rPr>
      </w:pPr>
      <w:r>
        <w:fldChar w:fldCharType="end"/>
      </w:r>
      <w:r w:rsidR="00DA085F" w:rsidRPr="0076611F">
        <w:rPr>
          <w:color w:val="auto"/>
        </w:rPr>
        <w:t>(Project Phase:</w:t>
      </w:r>
      <w:r w:rsidR="009017F6" w:rsidRPr="0076611F">
        <w:rPr>
          <w:color w:val="auto"/>
        </w:rPr>
        <w:t xml:space="preserve"> Feasibility through Operate Facility</w:t>
      </w:r>
      <w:r w:rsidR="00DA085F" w:rsidRPr="0076611F">
        <w:rPr>
          <w:color w:val="auto"/>
        </w:rPr>
        <w:t>)</w:t>
      </w:r>
    </w:p>
    <w:p w14:paraId="483C126C" w14:textId="19736668" w:rsidR="0076611F" w:rsidRPr="0076611F" w:rsidRDefault="0076611F" w:rsidP="0030335D">
      <w:pPr>
        <w:spacing w:after="0" w:line="240" w:lineRule="auto"/>
      </w:pPr>
      <w:r>
        <w:t xml:space="preserve">       This tool does the following:</w:t>
      </w:r>
    </w:p>
    <w:p w14:paraId="7008EDEF" w14:textId="21CA0560" w:rsidR="006A07D7" w:rsidRPr="006071D5" w:rsidRDefault="006A07D7" w:rsidP="0030335D">
      <w:pPr>
        <w:pStyle w:val="ListParagraph"/>
        <w:numPr>
          <w:ilvl w:val="0"/>
          <w:numId w:val="27"/>
        </w:numPr>
        <w:spacing w:after="0" w:line="240" w:lineRule="auto"/>
        <w:rPr>
          <w:rFonts w:cs="Times New Roman"/>
          <w:sz w:val="24"/>
          <w:szCs w:val="24"/>
        </w:rPr>
      </w:pPr>
      <w:r w:rsidRPr="006071D5">
        <w:rPr>
          <w:rFonts w:cs="Times New Roman"/>
          <w:sz w:val="24"/>
          <w:szCs w:val="24"/>
        </w:rPr>
        <w:t>Standardize</w:t>
      </w:r>
      <w:r w:rsidR="0076611F">
        <w:rPr>
          <w:rFonts w:cs="Times New Roman"/>
          <w:sz w:val="24"/>
          <w:szCs w:val="24"/>
        </w:rPr>
        <w:t>s</w:t>
      </w:r>
      <w:r w:rsidRPr="006071D5">
        <w:rPr>
          <w:rFonts w:cs="Times New Roman"/>
          <w:sz w:val="24"/>
          <w:szCs w:val="24"/>
        </w:rPr>
        <w:t xml:space="preserve"> PEPs: Establish</w:t>
      </w:r>
      <w:r w:rsidR="00927709">
        <w:rPr>
          <w:rFonts w:cs="Times New Roman"/>
          <w:sz w:val="24"/>
          <w:szCs w:val="24"/>
        </w:rPr>
        <w:t>es</w:t>
      </w:r>
      <w:r w:rsidRPr="006071D5">
        <w:rPr>
          <w:rFonts w:cs="Times New Roman"/>
          <w:sz w:val="24"/>
          <w:szCs w:val="24"/>
        </w:rPr>
        <w:t xml:space="preserve"> a consistent PEP structure to align stakeholders from </w:t>
      </w:r>
      <w:r w:rsidR="00927709">
        <w:rPr>
          <w:rFonts w:cs="Times New Roman"/>
          <w:sz w:val="24"/>
          <w:szCs w:val="24"/>
        </w:rPr>
        <w:t xml:space="preserve">the </w:t>
      </w:r>
      <w:r w:rsidRPr="006071D5">
        <w:rPr>
          <w:rFonts w:cs="Times New Roman"/>
          <w:sz w:val="24"/>
          <w:szCs w:val="24"/>
        </w:rPr>
        <w:t xml:space="preserve">front-end planning </w:t>
      </w:r>
      <w:r w:rsidR="00BC511E">
        <w:rPr>
          <w:rFonts w:cs="Times New Roman"/>
          <w:sz w:val="24"/>
          <w:szCs w:val="24"/>
        </w:rPr>
        <w:t xml:space="preserve">phase </w:t>
      </w:r>
      <w:r w:rsidRPr="006071D5">
        <w:rPr>
          <w:rFonts w:cs="Times New Roman"/>
          <w:sz w:val="24"/>
          <w:szCs w:val="24"/>
        </w:rPr>
        <w:t xml:space="preserve">through </w:t>
      </w:r>
      <w:r w:rsidR="00BC511E">
        <w:rPr>
          <w:rFonts w:cs="Times New Roman"/>
          <w:sz w:val="24"/>
          <w:szCs w:val="24"/>
        </w:rPr>
        <w:t xml:space="preserve">the </w:t>
      </w:r>
      <w:r w:rsidRPr="006071D5">
        <w:rPr>
          <w:rFonts w:cs="Times New Roman"/>
          <w:sz w:val="24"/>
          <w:szCs w:val="24"/>
        </w:rPr>
        <w:t xml:space="preserve">project execution and turnover </w:t>
      </w:r>
      <w:r w:rsidR="00927709">
        <w:rPr>
          <w:rFonts w:cs="Times New Roman"/>
          <w:sz w:val="24"/>
          <w:szCs w:val="24"/>
        </w:rPr>
        <w:t xml:space="preserve">phases </w:t>
      </w:r>
      <w:r w:rsidRPr="006071D5">
        <w:rPr>
          <w:rFonts w:cs="Times New Roman"/>
          <w:sz w:val="24"/>
          <w:szCs w:val="24"/>
        </w:rPr>
        <w:t>for effective coordination.</w:t>
      </w:r>
    </w:p>
    <w:p w14:paraId="219CDAAB" w14:textId="6666A11C" w:rsidR="006A07D7" w:rsidRPr="006071D5" w:rsidRDefault="006A07D7" w:rsidP="0030335D">
      <w:pPr>
        <w:pStyle w:val="ListParagraph"/>
        <w:numPr>
          <w:ilvl w:val="0"/>
          <w:numId w:val="27"/>
        </w:numPr>
        <w:spacing w:after="0" w:line="240" w:lineRule="auto"/>
        <w:rPr>
          <w:rFonts w:cs="Times New Roman"/>
          <w:sz w:val="24"/>
          <w:szCs w:val="24"/>
        </w:rPr>
      </w:pPr>
      <w:r w:rsidRPr="006071D5">
        <w:rPr>
          <w:rFonts w:cs="Times New Roman"/>
          <w:sz w:val="24"/>
          <w:szCs w:val="24"/>
        </w:rPr>
        <w:t>Implement</w:t>
      </w:r>
      <w:r w:rsidR="00927709">
        <w:rPr>
          <w:rFonts w:cs="Times New Roman"/>
          <w:sz w:val="24"/>
          <w:szCs w:val="24"/>
        </w:rPr>
        <w:t>s</w:t>
      </w:r>
      <w:r w:rsidRPr="006071D5">
        <w:rPr>
          <w:rFonts w:cs="Times New Roman"/>
          <w:sz w:val="24"/>
          <w:szCs w:val="24"/>
        </w:rPr>
        <w:t xml:space="preserve"> </w:t>
      </w:r>
      <w:r w:rsidR="00927709" w:rsidRPr="006071D5">
        <w:rPr>
          <w:rFonts w:cs="Times New Roman"/>
          <w:sz w:val="24"/>
          <w:szCs w:val="24"/>
        </w:rPr>
        <w:t>alignment procedures</w:t>
      </w:r>
      <w:r w:rsidRPr="006071D5">
        <w:rPr>
          <w:rFonts w:cs="Times New Roman"/>
          <w:sz w:val="24"/>
          <w:szCs w:val="24"/>
        </w:rPr>
        <w:t>: Utilize</w:t>
      </w:r>
      <w:r w:rsidR="00927709">
        <w:rPr>
          <w:rFonts w:cs="Times New Roman"/>
          <w:sz w:val="24"/>
          <w:szCs w:val="24"/>
        </w:rPr>
        <w:t>s</w:t>
      </w:r>
      <w:r w:rsidRPr="006071D5">
        <w:rPr>
          <w:rFonts w:cs="Times New Roman"/>
          <w:sz w:val="24"/>
          <w:szCs w:val="24"/>
        </w:rPr>
        <w:t xml:space="preserve"> an alignment checklist to ensure systematic alignment across </w:t>
      </w:r>
      <w:r w:rsidR="00927709">
        <w:rPr>
          <w:rFonts w:cs="Times New Roman"/>
          <w:sz w:val="24"/>
          <w:szCs w:val="24"/>
        </w:rPr>
        <w:t xml:space="preserve">the </w:t>
      </w:r>
      <w:r w:rsidRPr="006071D5">
        <w:rPr>
          <w:rFonts w:cs="Times New Roman"/>
          <w:sz w:val="24"/>
          <w:szCs w:val="24"/>
        </w:rPr>
        <w:t>engineering, procurement, and construction phase</w:t>
      </w:r>
      <w:r w:rsidR="00BC511E">
        <w:rPr>
          <w:rFonts w:cs="Times New Roman"/>
          <w:sz w:val="24"/>
          <w:szCs w:val="24"/>
        </w:rPr>
        <w:t>s</w:t>
      </w:r>
      <w:r w:rsidRPr="006071D5">
        <w:rPr>
          <w:rFonts w:cs="Times New Roman"/>
          <w:sz w:val="24"/>
          <w:szCs w:val="24"/>
        </w:rPr>
        <w:t xml:space="preserve">, </w:t>
      </w:r>
      <w:r w:rsidR="00927709">
        <w:rPr>
          <w:rFonts w:cs="Times New Roman"/>
          <w:sz w:val="24"/>
          <w:szCs w:val="24"/>
        </w:rPr>
        <w:t xml:space="preserve">thereby </w:t>
      </w:r>
      <w:r w:rsidRPr="006071D5">
        <w:rPr>
          <w:rFonts w:cs="Times New Roman"/>
          <w:sz w:val="24"/>
          <w:szCs w:val="24"/>
        </w:rPr>
        <w:t>addressing common gaps.</w:t>
      </w:r>
    </w:p>
    <w:p w14:paraId="197D9AE1" w14:textId="2157B991" w:rsidR="006A07D7" w:rsidRPr="006071D5" w:rsidRDefault="006A07D7" w:rsidP="0030335D">
      <w:pPr>
        <w:pStyle w:val="ListParagraph"/>
        <w:numPr>
          <w:ilvl w:val="0"/>
          <w:numId w:val="27"/>
        </w:numPr>
        <w:spacing w:after="0" w:line="240" w:lineRule="auto"/>
        <w:rPr>
          <w:rFonts w:cs="Times New Roman"/>
          <w:sz w:val="24"/>
          <w:szCs w:val="24"/>
        </w:rPr>
      </w:pPr>
      <w:r w:rsidRPr="006071D5">
        <w:rPr>
          <w:rFonts w:cs="Times New Roman"/>
          <w:sz w:val="24"/>
          <w:szCs w:val="24"/>
        </w:rPr>
        <w:t>Engage</w:t>
      </w:r>
      <w:r w:rsidR="00927709">
        <w:rPr>
          <w:rFonts w:cs="Times New Roman"/>
          <w:sz w:val="24"/>
          <w:szCs w:val="24"/>
        </w:rPr>
        <w:t>s</w:t>
      </w:r>
      <w:r w:rsidRPr="006071D5">
        <w:rPr>
          <w:rFonts w:cs="Times New Roman"/>
          <w:sz w:val="24"/>
          <w:szCs w:val="24"/>
        </w:rPr>
        <w:t xml:space="preserve"> </w:t>
      </w:r>
      <w:r w:rsidR="00927709" w:rsidRPr="006071D5">
        <w:rPr>
          <w:rFonts w:cs="Times New Roman"/>
          <w:sz w:val="24"/>
          <w:szCs w:val="24"/>
        </w:rPr>
        <w:t>suppliers early</w:t>
      </w:r>
      <w:r w:rsidR="00927709">
        <w:rPr>
          <w:rFonts w:cs="Times New Roman"/>
          <w:sz w:val="24"/>
          <w:szCs w:val="24"/>
        </w:rPr>
        <w:t xml:space="preserve"> in the project</w:t>
      </w:r>
      <w:r w:rsidRPr="006071D5">
        <w:rPr>
          <w:rFonts w:cs="Times New Roman"/>
          <w:sz w:val="24"/>
          <w:szCs w:val="24"/>
        </w:rPr>
        <w:t xml:space="preserve">: </w:t>
      </w:r>
      <w:r w:rsidR="00927709">
        <w:rPr>
          <w:rFonts w:cs="Times New Roman"/>
          <w:sz w:val="24"/>
          <w:szCs w:val="24"/>
        </w:rPr>
        <w:t>Utilizes</w:t>
      </w:r>
      <w:r w:rsidR="00927709" w:rsidRPr="006071D5">
        <w:rPr>
          <w:rFonts w:cs="Times New Roman"/>
          <w:sz w:val="24"/>
          <w:szCs w:val="24"/>
        </w:rPr>
        <w:t xml:space="preserve"> a detailed supplier engagement checklist </w:t>
      </w:r>
      <w:r w:rsidR="00927709">
        <w:rPr>
          <w:rFonts w:cs="Times New Roman"/>
          <w:sz w:val="24"/>
          <w:szCs w:val="24"/>
        </w:rPr>
        <w:t xml:space="preserve">to foster </w:t>
      </w:r>
      <w:r w:rsidRPr="006071D5">
        <w:rPr>
          <w:rFonts w:cs="Times New Roman"/>
          <w:sz w:val="24"/>
          <w:szCs w:val="24"/>
        </w:rPr>
        <w:t>strong supplier relationships and clarif</w:t>
      </w:r>
      <w:r w:rsidR="00927709">
        <w:rPr>
          <w:rFonts w:cs="Times New Roman"/>
          <w:sz w:val="24"/>
          <w:szCs w:val="24"/>
        </w:rPr>
        <w:t>y</w:t>
      </w:r>
      <w:r w:rsidRPr="006071D5">
        <w:rPr>
          <w:rFonts w:cs="Times New Roman"/>
          <w:sz w:val="24"/>
          <w:szCs w:val="24"/>
        </w:rPr>
        <w:t xml:space="preserve"> deliverables, </w:t>
      </w:r>
      <w:r w:rsidR="00927709">
        <w:rPr>
          <w:rFonts w:cs="Times New Roman"/>
          <w:sz w:val="24"/>
          <w:szCs w:val="24"/>
        </w:rPr>
        <w:t xml:space="preserve">thereby </w:t>
      </w:r>
      <w:r w:rsidRPr="006071D5">
        <w:rPr>
          <w:rFonts w:cs="Times New Roman"/>
          <w:sz w:val="24"/>
          <w:szCs w:val="24"/>
        </w:rPr>
        <w:t>enhancing project outcomes.</w:t>
      </w:r>
    </w:p>
    <w:p w14:paraId="02AB6B88" w14:textId="0F082ABD" w:rsidR="006A07D7" w:rsidRPr="006071D5" w:rsidRDefault="006A07D7" w:rsidP="0030335D">
      <w:pPr>
        <w:pStyle w:val="ListParagraph"/>
        <w:numPr>
          <w:ilvl w:val="0"/>
          <w:numId w:val="27"/>
        </w:numPr>
        <w:spacing w:after="0" w:line="240" w:lineRule="auto"/>
        <w:rPr>
          <w:rFonts w:cs="Times New Roman"/>
          <w:sz w:val="24"/>
          <w:szCs w:val="24"/>
        </w:rPr>
      </w:pPr>
      <w:r w:rsidRPr="006071D5">
        <w:rPr>
          <w:rFonts w:cs="Times New Roman"/>
          <w:sz w:val="24"/>
          <w:szCs w:val="24"/>
        </w:rPr>
        <w:t>Promote</w:t>
      </w:r>
      <w:r w:rsidR="00927709">
        <w:rPr>
          <w:rFonts w:cs="Times New Roman"/>
          <w:sz w:val="24"/>
          <w:szCs w:val="24"/>
        </w:rPr>
        <w:t>s</w:t>
      </w:r>
      <w:r w:rsidRPr="006071D5">
        <w:rPr>
          <w:rFonts w:cs="Times New Roman"/>
          <w:sz w:val="24"/>
          <w:szCs w:val="24"/>
        </w:rPr>
        <w:t xml:space="preserve"> </w:t>
      </w:r>
      <w:r w:rsidR="00927709" w:rsidRPr="006071D5">
        <w:rPr>
          <w:rFonts w:cs="Times New Roman"/>
          <w:sz w:val="24"/>
          <w:szCs w:val="24"/>
        </w:rPr>
        <w:t>alignment behaviors</w:t>
      </w:r>
      <w:r w:rsidRPr="006071D5">
        <w:rPr>
          <w:rFonts w:cs="Times New Roman"/>
          <w:sz w:val="24"/>
          <w:szCs w:val="24"/>
        </w:rPr>
        <w:t>: Cultivate</w:t>
      </w:r>
      <w:r w:rsidR="00927709">
        <w:rPr>
          <w:rFonts w:cs="Times New Roman"/>
          <w:sz w:val="24"/>
          <w:szCs w:val="24"/>
        </w:rPr>
        <w:t>s</w:t>
      </w:r>
      <w:r w:rsidRPr="006071D5">
        <w:rPr>
          <w:rFonts w:cs="Times New Roman"/>
          <w:sz w:val="24"/>
          <w:szCs w:val="24"/>
        </w:rPr>
        <w:t xml:space="preserve"> collaborative behaviors across all project phases to improve information flow, accountability, and engagement among stakeholders.</w:t>
      </w:r>
    </w:p>
    <w:p w14:paraId="592F4900" w14:textId="6177D236" w:rsidR="008D3281" w:rsidRPr="006071D5" w:rsidRDefault="006A07D7" w:rsidP="0030335D">
      <w:pPr>
        <w:pStyle w:val="ListParagraph"/>
        <w:numPr>
          <w:ilvl w:val="0"/>
          <w:numId w:val="27"/>
        </w:numPr>
        <w:spacing w:after="0" w:line="240" w:lineRule="auto"/>
        <w:rPr>
          <w:rFonts w:cs="Times New Roman"/>
          <w:sz w:val="24"/>
          <w:szCs w:val="24"/>
        </w:rPr>
      </w:pPr>
      <w:r w:rsidRPr="006071D5">
        <w:rPr>
          <w:rFonts w:cs="Times New Roman"/>
          <w:sz w:val="24"/>
          <w:szCs w:val="24"/>
        </w:rPr>
        <w:t>Leverage</w:t>
      </w:r>
      <w:r w:rsidR="00927709">
        <w:rPr>
          <w:rFonts w:cs="Times New Roman"/>
          <w:sz w:val="24"/>
          <w:szCs w:val="24"/>
        </w:rPr>
        <w:t>s</w:t>
      </w:r>
      <w:r w:rsidRPr="006071D5">
        <w:rPr>
          <w:rFonts w:cs="Times New Roman"/>
          <w:sz w:val="24"/>
          <w:szCs w:val="24"/>
        </w:rPr>
        <w:t xml:space="preserve"> </w:t>
      </w:r>
      <w:r w:rsidR="00927709" w:rsidRPr="006071D5">
        <w:rPr>
          <w:rFonts w:cs="Times New Roman"/>
          <w:sz w:val="24"/>
          <w:szCs w:val="24"/>
        </w:rPr>
        <w:t>automation for consistency</w:t>
      </w:r>
      <w:r w:rsidRPr="006071D5">
        <w:rPr>
          <w:rFonts w:cs="Times New Roman"/>
          <w:sz w:val="24"/>
          <w:szCs w:val="24"/>
        </w:rPr>
        <w:t>: Use</w:t>
      </w:r>
      <w:r w:rsidR="00927709">
        <w:rPr>
          <w:rFonts w:cs="Times New Roman"/>
          <w:sz w:val="24"/>
          <w:szCs w:val="24"/>
        </w:rPr>
        <w:t>s</w:t>
      </w:r>
      <w:r w:rsidRPr="006071D5">
        <w:rPr>
          <w:rFonts w:cs="Times New Roman"/>
          <w:sz w:val="24"/>
          <w:szCs w:val="24"/>
        </w:rPr>
        <w:t xml:space="preserve"> automat</w:t>
      </w:r>
      <w:r w:rsidR="002A6C31">
        <w:rPr>
          <w:rFonts w:cs="Times New Roman"/>
          <w:sz w:val="24"/>
          <w:szCs w:val="24"/>
        </w:rPr>
        <w:t>ed</w:t>
      </w:r>
      <w:r w:rsidRPr="006071D5">
        <w:rPr>
          <w:rFonts w:cs="Times New Roman"/>
          <w:sz w:val="24"/>
          <w:szCs w:val="24"/>
        </w:rPr>
        <w:t xml:space="preserve"> tools to streamline data sharing, enhance alignment, and improve project performance across the</w:t>
      </w:r>
      <w:r w:rsidR="00927709">
        <w:rPr>
          <w:rFonts w:cs="Times New Roman"/>
          <w:sz w:val="24"/>
          <w:szCs w:val="24"/>
        </w:rPr>
        <w:t xml:space="preserve"> project’s</w:t>
      </w:r>
      <w:r w:rsidRPr="006071D5">
        <w:rPr>
          <w:rFonts w:cs="Times New Roman"/>
          <w:sz w:val="24"/>
          <w:szCs w:val="24"/>
        </w:rPr>
        <w:t xml:space="preserve"> lifecycle.</w:t>
      </w:r>
      <w:r w:rsidR="00605512" w:rsidRPr="006071D5">
        <w:rPr>
          <w:rFonts w:cs="Times New Roman"/>
          <w:sz w:val="24"/>
          <w:szCs w:val="24"/>
        </w:rPr>
        <w:tab/>
      </w:r>
    </w:p>
    <w:sectPr w:rsidR="008D3281" w:rsidRPr="006071D5"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6921" w14:textId="77777777" w:rsidR="00A728EF" w:rsidRDefault="00A728EF" w:rsidP="00CF6948">
      <w:pPr>
        <w:spacing w:after="0" w:line="240" w:lineRule="auto"/>
      </w:pPr>
      <w:r>
        <w:separator/>
      </w:r>
    </w:p>
  </w:endnote>
  <w:endnote w:type="continuationSeparator" w:id="0">
    <w:p w14:paraId="7199D10A" w14:textId="77777777" w:rsidR="00A728EF" w:rsidRDefault="00A728EF" w:rsidP="00CF6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DDC5D" w14:textId="77777777" w:rsidR="00A728EF" w:rsidRDefault="00A728EF" w:rsidP="00CF6948">
      <w:pPr>
        <w:spacing w:after="0" w:line="240" w:lineRule="auto"/>
      </w:pPr>
      <w:r>
        <w:separator/>
      </w:r>
    </w:p>
  </w:footnote>
  <w:footnote w:type="continuationSeparator" w:id="0">
    <w:p w14:paraId="0F7B1ED9" w14:textId="77777777" w:rsidR="00A728EF" w:rsidRDefault="00A728EF" w:rsidP="00CF69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413618"/>
    <w:multiLevelType w:val="hybridMultilevel"/>
    <w:tmpl w:val="7B72495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B647DE"/>
    <w:multiLevelType w:val="hybridMultilevel"/>
    <w:tmpl w:val="B61245C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FF7C98"/>
    <w:multiLevelType w:val="hybridMultilevel"/>
    <w:tmpl w:val="7CDA3B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4A54F1"/>
    <w:multiLevelType w:val="hybridMultilevel"/>
    <w:tmpl w:val="0A88774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17"/>
  </w:num>
  <w:num w:numId="2" w16cid:durableId="1052078125">
    <w:abstractNumId w:val="24"/>
  </w:num>
  <w:num w:numId="3" w16cid:durableId="676617151">
    <w:abstractNumId w:val="25"/>
  </w:num>
  <w:num w:numId="4" w16cid:durableId="562835090">
    <w:abstractNumId w:val="21"/>
  </w:num>
  <w:num w:numId="5" w16cid:durableId="1359504598">
    <w:abstractNumId w:val="11"/>
  </w:num>
  <w:num w:numId="6" w16cid:durableId="1562987232">
    <w:abstractNumId w:val="18"/>
  </w:num>
  <w:num w:numId="7" w16cid:durableId="884367478">
    <w:abstractNumId w:val="20"/>
  </w:num>
  <w:num w:numId="8" w16cid:durableId="1738436825">
    <w:abstractNumId w:val="0"/>
  </w:num>
  <w:num w:numId="9" w16cid:durableId="1936673494">
    <w:abstractNumId w:val="12"/>
  </w:num>
  <w:num w:numId="10" w16cid:durableId="431172331">
    <w:abstractNumId w:val="8"/>
  </w:num>
  <w:num w:numId="11" w16cid:durableId="994726383">
    <w:abstractNumId w:val="2"/>
  </w:num>
  <w:num w:numId="12" w16cid:durableId="1914001632">
    <w:abstractNumId w:val="22"/>
  </w:num>
  <w:num w:numId="13" w16cid:durableId="301545632">
    <w:abstractNumId w:val="1"/>
  </w:num>
  <w:num w:numId="14" w16cid:durableId="2017884132">
    <w:abstractNumId w:val="16"/>
  </w:num>
  <w:num w:numId="15" w16cid:durableId="1776166522">
    <w:abstractNumId w:val="23"/>
  </w:num>
  <w:num w:numId="16" w16cid:durableId="1327244331">
    <w:abstractNumId w:val="10"/>
  </w:num>
  <w:num w:numId="17" w16cid:durableId="820850785">
    <w:abstractNumId w:val="7"/>
  </w:num>
  <w:num w:numId="18" w16cid:durableId="1750813447">
    <w:abstractNumId w:val="9"/>
  </w:num>
  <w:num w:numId="19" w16cid:durableId="1264415857">
    <w:abstractNumId w:val="6"/>
  </w:num>
  <w:num w:numId="20" w16cid:durableId="1491749955">
    <w:abstractNumId w:val="3"/>
  </w:num>
  <w:num w:numId="21" w16cid:durableId="508376827">
    <w:abstractNumId w:val="19"/>
  </w:num>
  <w:num w:numId="22" w16cid:durableId="881601151">
    <w:abstractNumId w:val="26"/>
  </w:num>
  <w:num w:numId="23" w16cid:durableId="63258752">
    <w:abstractNumId w:val="4"/>
  </w:num>
  <w:num w:numId="24" w16cid:durableId="39090368">
    <w:abstractNumId w:val="5"/>
  </w:num>
  <w:num w:numId="25" w16cid:durableId="1453474559">
    <w:abstractNumId w:val="15"/>
  </w:num>
  <w:num w:numId="26" w16cid:durableId="669797615">
    <w:abstractNumId w:val="14"/>
  </w:num>
  <w:num w:numId="27" w16cid:durableId="16219538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NKwFAPjV7nQtAAAA"/>
  </w:docVars>
  <w:rsids>
    <w:rsidRoot w:val="00830C78"/>
    <w:rsid w:val="00040547"/>
    <w:rsid w:val="00066978"/>
    <w:rsid w:val="000722FE"/>
    <w:rsid w:val="00081145"/>
    <w:rsid w:val="00090C53"/>
    <w:rsid w:val="00091A32"/>
    <w:rsid w:val="00134D87"/>
    <w:rsid w:val="0014181D"/>
    <w:rsid w:val="001468E2"/>
    <w:rsid w:val="00147C89"/>
    <w:rsid w:val="00167836"/>
    <w:rsid w:val="00175FB9"/>
    <w:rsid w:val="001762EC"/>
    <w:rsid w:val="00177E12"/>
    <w:rsid w:val="00180060"/>
    <w:rsid w:val="00184031"/>
    <w:rsid w:val="00191A51"/>
    <w:rsid w:val="001A2C36"/>
    <w:rsid w:val="001C40B4"/>
    <w:rsid w:val="001C78E6"/>
    <w:rsid w:val="001D686C"/>
    <w:rsid w:val="001F6DBB"/>
    <w:rsid w:val="001F6ECD"/>
    <w:rsid w:val="00206F5F"/>
    <w:rsid w:val="002078D0"/>
    <w:rsid w:val="002147F6"/>
    <w:rsid w:val="00230D98"/>
    <w:rsid w:val="00232AD5"/>
    <w:rsid w:val="0025066D"/>
    <w:rsid w:val="00297D38"/>
    <w:rsid w:val="002A6C31"/>
    <w:rsid w:val="002A77D1"/>
    <w:rsid w:val="002B1ECC"/>
    <w:rsid w:val="002B3DC2"/>
    <w:rsid w:val="002B75BE"/>
    <w:rsid w:val="002C056D"/>
    <w:rsid w:val="002C7919"/>
    <w:rsid w:val="002C7A92"/>
    <w:rsid w:val="002E7BD5"/>
    <w:rsid w:val="0030335D"/>
    <w:rsid w:val="003075B0"/>
    <w:rsid w:val="00345BD3"/>
    <w:rsid w:val="00346ADE"/>
    <w:rsid w:val="00350B6A"/>
    <w:rsid w:val="00360BB4"/>
    <w:rsid w:val="00366EE7"/>
    <w:rsid w:val="00377576"/>
    <w:rsid w:val="003A311F"/>
    <w:rsid w:val="003B2149"/>
    <w:rsid w:val="003D4BFF"/>
    <w:rsid w:val="004026F2"/>
    <w:rsid w:val="00412A7E"/>
    <w:rsid w:val="0042219D"/>
    <w:rsid w:val="004656F5"/>
    <w:rsid w:val="004B5236"/>
    <w:rsid w:val="004C3E1B"/>
    <w:rsid w:val="00502DCE"/>
    <w:rsid w:val="005205BD"/>
    <w:rsid w:val="00521D71"/>
    <w:rsid w:val="00536004"/>
    <w:rsid w:val="00543C90"/>
    <w:rsid w:val="00554F68"/>
    <w:rsid w:val="005559B6"/>
    <w:rsid w:val="00556894"/>
    <w:rsid w:val="005573F5"/>
    <w:rsid w:val="00557698"/>
    <w:rsid w:val="005853B4"/>
    <w:rsid w:val="005A4F97"/>
    <w:rsid w:val="005B34D0"/>
    <w:rsid w:val="005D3434"/>
    <w:rsid w:val="00605512"/>
    <w:rsid w:val="006071D5"/>
    <w:rsid w:val="006071DB"/>
    <w:rsid w:val="00627BDB"/>
    <w:rsid w:val="00642EA4"/>
    <w:rsid w:val="006624D8"/>
    <w:rsid w:val="00662AEB"/>
    <w:rsid w:val="00672818"/>
    <w:rsid w:val="00675C34"/>
    <w:rsid w:val="0069226A"/>
    <w:rsid w:val="00692983"/>
    <w:rsid w:val="006956BA"/>
    <w:rsid w:val="006A07D7"/>
    <w:rsid w:val="007505A2"/>
    <w:rsid w:val="0076505D"/>
    <w:rsid w:val="0076611F"/>
    <w:rsid w:val="00767667"/>
    <w:rsid w:val="00791A21"/>
    <w:rsid w:val="0079372A"/>
    <w:rsid w:val="007A64C2"/>
    <w:rsid w:val="007A6C07"/>
    <w:rsid w:val="007E077B"/>
    <w:rsid w:val="0082368D"/>
    <w:rsid w:val="00826371"/>
    <w:rsid w:val="00830C78"/>
    <w:rsid w:val="00841DA5"/>
    <w:rsid w:val="0084208B"/>
    <w:rsid w:val="00843F7E"/>
    <w:rsid w:val="0085257D"/>
    <w:rsid w:val="008525BA"/>
    <w:rsid w:val="00863457"/>
    <w:rsid w:val="00893B71"/>
    <w:rsid w:val="008A086C"/>
    <w:rsid w:val="008A53A5"/>
    <w:rsid w:val="008A77C5"/>
    <w:rsid w:val="008C3658"/>
    <w:rsid w:val="008C3801"/>
    <w:rsid w:val="008D3281"/>
    <w:rsid w:val="008E0C58"/>
    <w:rsid w:val="009017F6"/>
    <w:rsid w:val="009157BB"/>
    <w:rsid w:val="00927709"/>
    <w:rsid w:val="00927DED"/>
    <w:rsid w:val="0093110F"/>
    <w:rsid w:val="0094505C"/>
    <w:rsid w:val="009456FC"/>
    <w:rsid w:val="00974AB5"/>
    <w:rsid w:val="00974D5D"/>
    <w:rsid w:val="00981F18"/>
    <w:rsid w:val="00991680"/>
    <w:rsid w:val="009A418F"/>
    <w:rsid w:val="00A1325C"/>
    <w:rsid w:val="00A16877"/>
    <w:rsid w:val="00A16E69"/>
    <w:rsid w:val="00A16F49"/>
    <w:rsid w:val="00A20E61"/>
    <w:rsid w:val="00A4057E"/>
    <w:rsid w:val="00A728EF"/>
    <w:rsid w:val="00A8106C"/>
    <w:rsid w:val="00A9209E"/>
    <w:rsid w:val="00AB2E9C"/>
    <w:rsid w:val="00B55168"/>
    <w:rsid w:val="00BB5DEC"/>
    <w:rsid w:val="00BC511E"/>
    <w:rsid w:val="00BE434F"/>
    <w:rsid w:val="00C21E16"/>
    <w:rsid w:val="00C27843"/>
    <w:rsid w:val="00C40551"/>
    <w:rsid w:val="00C50E46"/>
    <w:rsid w:val="00C665F2"/>
    <w:rsid w:val="00C80631"/>
    <w:rsid w:val="00C95D58"/>
    <w:rsid w:val="00CC4411"/>
    <w:rsid w:val="00CD6E1D"/>
    <w:rsid w:val="00CE0ECA"/>
    <w:rsid w:val="00CF6948"/>
    <w:rsid w:val="00D264CA"/>
    <w:rsid w:val="00D2690D"/>
    <w:rsid w:val="00D270CA"/>
    <w:rsid w:val="00D3224B"/>
    <w:rsid w:val="00D50288"/>
    <w:rsid w:val="00D60BED"/>
    <w:rsid w:val="00D805A5"/>
    <w:rsid w:val="00D93581"/>
    <w:rsid w:val="00DA085F"/>
    <w:rsid w:val="00DB1001"/>
    <w:rsid w:val="00DC34FA"/>
    <w:rsid w:val="00DC3935"/>
    <w:rsid w:val="00DD15B9"/>
    <w:rsid w:val="00DD2D0B"/>
    <w:rsid w:val="00E0520F"/>
    <w:rsid w:val="00E26041"/>
    <w:rsid w:val="00E6414C"/>
    <w:rsid w:val="00EA1CBB"/>
    <w:rsid w:val="00EC0D03"/>
    <w:rsid w:val="00EC1E4A"/>
    <w:rsid w:val="00EE12E6"/>
    <w:rsid w:val="00EF6A5F"/>
    <w:rsid w:val="00F26307"/>
    <w:rsid w:val="00F36B4E"/>
    <w:rsid w:val="00F45B5A"/>
    <w:rsid w:val="00F52441"/>
    <w:rsid w:val="00F524A9"/>
    <w:rsid w:val="00F54066"/>
    <w:rsid w:val="00F83FAA"/>
    <w:rsid w:val="00FB5806"/>
    <w:rsid w:val="00FB66AC"/>
    <w:rsid w:val="00FB7721"/>
    <w:rsid w:val="00FC2903"/>
    <w:rsid w:val="00FC3FE2"/>
    <w:rsid w:val="00FD1620"/>
    <w:rsid w:val="00FE200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6948"/>
    <w:pPr>
      <w:spacing w:after="0" w:line="240" w:lineRule="auto"/>
      <w:outlineLvl w:val="0"/>
    </w:pPr>
    <w:rPr>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6948"/>
    <w:rPr>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927709"/>
    <w:rPr>
      <w:sz w:val="16"/>
      <w:szCs w:val="16"/>
    </w:rPr>
  </w:style>
  <w:style w:type="paragraph" w:styleId="CommentText">
    <w:name w:val="annotation text"/>
    <w:basedOn w:val="Normal"/>
    <w:link w:val="CommentTextChar"/>
    <w:uiPriority w:val="99"/>
    <w:semiHidden/>
    <w:unhideWhenUsed/>
    <w:rsid w:val="00927709"/>
    <w:pPr>
      <w:spacing w:line="240" w:lineRule="auto"/>
    </w:pPr>
    <w:rPr>
      <w:sz w:val="20"/>
      <w:szCs w:val="20"/>
    </w:rPr>
  </w:style>
  <w:style w:type="character" w:customStyle="1" w:styleId="CommentTextChar">
    <w:name w:val="Comment Text Char"/>
    <w:basedOn w:val="DefaultParagraphFont"/>
    <w:link w:val="CommentText"/>
    <w:uiPriority w:val="99"/>
    <w:semiHidden/>
    <w:rsid w:val="00927709"/>
    <w:rPr>
      <w:sz w:val="20"/>
      <w:szCs w:val="20"/>
    </w:rPr>
  </w:style>
  <w:style w:type="paragraph" w:styleId="CommentSubject">
    <w:name w:val="annotation subject"/>
    <w:basedOn w:val="CommentText"/>
    <w:next w:val="CommentText"/>
    <w:link w:val="CommentSubjectChar"/>
    <w:uiPriority w:val="99"/>
    <w:semiHidden/>
    <w:unhideWhenUsed/>
    <w:rsid w:val="00927709"/>
    <w:rPr>
      <w:b/>
      <w:bCs/>
    </w:rPr>
  </w:style>
  <w:style w:type="character" w:customStyle="1" w:styleId="CommentSubjectChar">
    <w:name w:val="Comment Subject Char"/>
    <w:basedOn w:val="CommentTextChar"/>
    <w:link w:val="CommentSubject"/>
    <w:uiPriority w:val="99"/>
    <w:semiHidden/>
    <w:rsid w:val="00927709"/>
    <w:rPr>
      <w:b/>
      <w:bCs/>
      <w:sz w:val="20"/>
      <w:szCs w:val="20"/>
    </w:rPr>
  </w:style>
  <w:style w:type="paragraph" w:styleId="NoSpacing">
    <w:name w:val="No Spacing"/>
    <w:uiPriority w:val="1"/>
    <w:qFormat/>
    <w:rsid w:val="00675C34"/>
    <w:pPr>
      <w:spacing w:after="0" w:line="240" w:lineRule="auto"/>
    </w:pPr>
  </w:style>
  <w:style w:type="paragraph" w:styleId="Header">
    <w:name w:val="header"/>
    <w:basedOn w:val="Normal"/>
    <w:link w:val="HeaderChar"/>
    <w:uiPriority w:val="99"/>
    <w:unhideWhenUsed/>
    <w:rsid w:val="00CF69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6948"/>
  </w:style>
  <w:style w:type="paragraph" w:styleId="Footer">
    <w:name w:val="footer"/>
    <w:basedOn w:val="Normal"/>
    <w:link w:val="FooterChar"/>
    <w:uiPriority w:val="99"/>
    <w:unhideWhenUsed/>
    <w:rsid w:val="00CF69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6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399401974">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1936671291">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effective-project-alignment-for-construction-success-fec824e2b49eb0f6b165ca7cecb4a8cb" TargetMode="External"/><Relationship Id="rId3" Type="http://schemas.openxmlformats.org/officeDocument/2006/relationships/settings" Target="settings.xml"/><Relationship Id="rId7" Type="http://schemas.openxmlformats.org/officeDocument/2006/relationships/hyperlink" Target="https://www.construction-institute.org/effective-project-alignment-for-construction-succ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597</Words>
  <Characters>3859</Characters>
  <Application>Microsoft Office Word</Application>
  <DocSecurity>0</DocSecurity>
  <Lines>67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17</cp:revision>
  <cp:lastPrinted>2024-11-05T15:53:00Z</cp:lastPrinted>
  <dcterms:created xsi:type="dcterms:W3CDTF">2025-02-25T22:20:00Z</dcterms:created>
  <dcterms:modified xsi:type="dcterms:W3CDTF">2025-03-10T16:19:00Z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